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BC" w:rsidRPr="002A6370" w:rsidRDefault="00C403BC" w:rsidP="002A6370">
      <w:pPr>
        <w:jc w:val="center"/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Weekly Agenda 10/25 – 10/28</w:t>
      </w:r>
    </w:p>
    <w:p w:rsidR="00C403BC" w:rsidRPr="002A6370" w:rsidRDefault="00C403BC" w:rsidP="002A6370">
      <w:pPr>
        <w:jc w:val="center"/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Brit Lit and Comp – McBride</w:t>
      </w:r>
    </w:p>
    <w:p w:rsidR="00C403BC" w:rsidRPr="002A6370" w:rsidRDefault="00C403BC" w:rsidP="002A6370">
      <w:p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Tues. 25</w:t>
      </w:r>
    </w:p>
    <w:p w:rsidR="00C403BC" w:rsidRPr="002A6370" w:rsidRDefault="00C403BC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QW – Essential question</w:t>
      </w:r>
    </w:p>
    <w:p w:rsidR="00D1597A" w:rsidRPr="002A6370" w:rsidRDefault="00D1597A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Collect Because I Said I Would Card.</w:t>
      </w:r>
    </w:p>
    <w:p w:rsidR="00C403BC" w:rsidRPr="002A6370" w:rsidRDefault="00C403BC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 xml:space="preserve">Intro </w:t>
      </w:r>
      <w:r w:rsidR="003B2DB9" w:rsidRPr="002A6370">
        <w:rPr>
          <w:rFonts w:eastAsia="Times New Roman"/>
          <w:sz w:val="20"/>
          <w:szCs w:val="20"/>
        </w:rPr>
        <w:t xml:space="preserve">to Tests and The Supreme Ordeal (J. Campbell’s The </w:t>
      </w:r>
      <w:proofErr w:type="spellStart"/>
      <w:r w:rsidR="003B2DB9" w:rsidRPr="002A6370">
        <w:rPr>
          <w:rFonts w:eastAsia="Times New Roman"/>
          <w:sz w:val="20"/>
          <w:szCs w:val="20"/>
        </w:rPr>
        <w:t>Monomyth</w:t>
      </w:r>
      <w:proofErr w:type="spellEnd"/>
      <w:r w:rsidR="003B2DB9" w:rsidRPr="002A6370">
        <w:rPr>
          <w:rFonts w:eastAsia="Times New Roman"/>
          <w:sz w:val="20"/>
          <w:szCs w:val="20"/>
        </w:rPr>
        <w:t xml:space="preserve"> – Review)</w:t>
      </w:r>
    </w:p>
    <w:p w:rsidR="00C403BC" w:rsidRPr="002A6370" w:rsidRDefault="00C403BC" w:rsidP="002A6370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Learning Goals, expectations, Review EQs</w:t>
      </w:r>
    </w:p>
    <w:p w:rsidR="00D1597A" w:rsidRPr="002A6370" w:rsidRDefault="00D1597A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 xml:space="preserve">PRIMING! A new </w:t>
      </w:r>
      <w:proofErr w:type="spellStart"/>
      <w:r w:rsidRPr="002A6370">
        <w:rPr>
          <w:rFonts w:eastAsia="Times New Roman"/>
          <w:sz w:val="20"/>
          <w:szCs w:val="20"/>
        </w:rPr>
        <w:t>tradtion</w:t>
      </w:r>
      <w:proofErr w:type="spellEnd"/>
      <w:r w:rsidRPr="002A6370">
        <w:rPr>
          <w:rFonts w:eastAsia="Times New Roman"/>
          <w:sz w:val="20"/>
          <w:szCs w:val="20"/>
        </w:rPr>
        <w:t xml:space="preserve"> to get our bodies’ and minds’ ready!</w:t>
      </w:r>
    </w:p>
    <w:p w:rsidR="00C403BC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555B0539" wp14:editId="1FE43938">
            <wp:simplePos x="0" y="0"/>
            <wp:positionH relativeFrom="page">
              <wp:posOffset>5448300</wp:posOffset>
            </wp:positionH>
            <wp:positionV relativeFrom="paragraph">
              <wp:posOffset>46990</wp:posOffset>
            </wp:positionV>
            <wp:extent cx="1809750" cy="1809750"/>
            <wp:effectExtent l="0" t="0" r="0" b="0"/>
            <wp:wrapSquare wrapText="bothSides"/>
            <wp:docPr id="1" name="irc_mi" descr="Image result for because i said i woul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ecause i said i woul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3BC" w:rsidRPr="002A6370">
        <w:rPr>
          <w:rFonts w:eastAsia="Times New Roman"/>
          <w:sz w:val="20"/>
          <w:szCs w:val="20"/>
        </w:rPr>
        <w:t>Get Lit Books for Antigone – Read Intro/Background</w:t>
      </w:r>
    </w:p>
    <w:p w:rsidR="00C403BC" w:rsidRPr="002A6370" w:rsidRDefault="00C403BC" w:rsidP="002A6370">
      <w:pPr>
        <w:pStyle w:val="ListParagraph"/>
        <w:numPr>
          <w:ilvl w:val="0"/>
          <w:numId w:val="1"/>
        </w:num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HW –</w:t>
      </w:r>
      <w:r w:rsidR="003B2DB9" w:rsidRPr="002A6370">
        <w:rPr>
          <w:rFonts w:eastAsia="Times New Roman"/>
          <w:b/>
          <w:sz w:val="20"/>
          <w:szCs w:val="20"/>
        </w:rPr>
        <w:t xml:space="preserve"> Read pg</w:t>
      </w:r>
      <w:r w:rsidR="00372667" w:rsidRPr="002A6370">
        <w:rPr>
          <w:rFonts w:eastAsia="Times New Roman"/>
          <w:b/>
          <w:sz w:val="20"/>
          <w:szCs w:val="20"/>
        </w:rPr>
        <w:t xml:space="preserve">. 489-493 in new book “Sophocles and His Theater” </w:t>
      </w:r>
    </w:p>
    <w:p w:rsidR="00C403BC" w:rsidRPr="002A6370" w:rsidRDefault="00C403BC" w:rsidP="002A6370">
      <w:p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 xml:space="preserve">Wed 26 </w:t>
      </w:r>
    </w:p>
    <w:p w:rsidR="00372667" w:rsidRPr="002A6370" w:rsidRDefault="00372667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 xml:space="preserve">QW – Review Background </w:t>
      </w:r>
      <w:r w:rsidR="002A6370" w:rsidRPr="002A6370">
        <w:rPr>
          <w:rFonts w:eastAsia="Times New Roman"/>
          <w:sz w:val="20"/>
          <w:szCs w:val="20"/>
        </w:rPr>
        <w:t>(Reading Check)</w:t>
      </w:r>
    </w:p>
    <w:p w:rsidR="00372667" w:rsidRPr="002A6370" w:rsidRDefault="00372667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Begin r</w:t>
      </w:r>
      <w:r w:rsidR="00C403BC" w:rsidRPr="002A6370">
        <w:rPr>
          <w:rFonts w:eastAsia="Times New Roman"/>
          <w:sz w:val="20"/>
          <w:szCs w:val="20"/>
        </w:rPr>
        <w:t>ead</w:t>
      </w:r>
      <w:r w:rsidRPr="002A6370">
        <w:rPr>
          <w:rFonts w:eastAsia="Times New Roman"/>
          <w:sz w:val="20"/>
          <w:szCs w:val="20"/>
        </w:rPr>
        <w:t xml:space="preserve">ing </w:t>
      </w:r>
      <w:r w:rsidR="00C403BC" w:rsidRPr="002A6370">
        <w:rPr>
          <w:rFonts w:eastAsia="Times New Roman"/>
          <w:sz w:val="20"/>
          <w:szCs w:val="20"/>
        </w:rPr>
        <w:t>Antigone</w:t>
      </w:r>
    </w:p>
    <w:p w:rsidR="00C403BC" w:rsidRPr="002A6370" w:rsidRDefault="00372667" w:rsidP="002A6370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 xml:space="preserve">Role of the Chorus – Review </w:t>
      </w:r>
      <w:r w:rsidR="00A56B76" w:rsidRPr="002A6370">
        <w:rPr>
          <w:rFonts w:eastAsia="Times New Roman"/>
          <w:sz w:val="20"/>
          <w:szCs w:val="20"/>
        </w:rPr>
        <w:t>(structural purpose 12. 5)</w:t>
      </w:r>
      <w:r w:rsidR="00C403BC" w:rsidRPr="002A6370">
        <w:rPr>
          <w:rFonts w:eastAsia="Times New Roman"/>
          <w:sz w:val="20"/>
          <w:szCs w:val="20"/>
        </w:rPr>
        <w:t xml:space="preserve"> </w:t>
      </w:r>
    </w:p>
    <w:p w:rsidR="00C403BC" w:rsidRPr="002A6370" w:rsidRDefault="00C403BC" w:rsidP="002A6370">
      <w:pPr>
        <w:pStyle w:val="ListParagraph"/>
        <w:numPr>
          <w:ilvl w:val="0"/>
          <w:numId w:val="1"/>
        </w:num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 xml:space="preserve">HW – </w:t>
      </w:r>
      <w:r w:rsidR="00372667" w:rsidRPr="002A6370">
        <w:rPr>
          <w:rFonts w:eastAsia="Times New Roman"/>
          <w:b/>
          <w:sz w:val="20"/>
          <w:szCs w:val="20"/>
        </w:rPr>
        <w:t>Finish Scene 1 (through pg. 503)</w:t>
      </w:r>
    </w:p>
    <w:p w:rsidR="00C403BC" w:rsidRPr="002A6370" w:rsidRDefault="00C403BC" w:rsidP="002A6370">
      <w:p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Thurs. 27</w:t>
      </w:r>
    </w:p>
    <w:p w:rsidR="00372667" w:rsidRPr="002A6370" w:rsidRDefault="00C403BC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Re</w:t>
      </w:r>
      <w:r w:rsidR="00372667" w:rsidRPr="002A6370">
        <w:rPr>
          <w:rFonts w:eastAsia="Times New Roman"/>
          <w:sz w:val="20"/>
          <w:szCs w:val="20"/>
        </w:rPr>
        <w:t>view Scene 1</w:t>
      </w:r>
    </w:p>
    <w:p w:rsidR="00C403BC" w:rsidRPr="002A6370" w:rsidRDefault="00372667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Cont. Re</w:t>
      </w:r>
      <w:r w:rsidR="00C403BC" w:rsidRPr="002A6370">
        <w:rPr>
          <w:rFonts w:eastAsia="Times New Roman"/>
          <w:sz w:val="20"/>
          <w:szCs w:val="20"/>
        </w:rPr>
        <w:t>ad</w:t>
      </w:r>
      <w:r w:rsidRPr="002A6370">
        <w:rPr>
          <w:rFonts w:eastAsia="Times New Roman"/>
          <w:sz w:val="20"/>
          <w:szCs w:val="20"/>
        </w:rPr>
        <w:t>ing</w:t>
      </w:r>
      <w:r w:rsidR="00C403BC" w:rsidRPr="002A6370">
        <w:rPr>
          <w:rFonts w:eastAsia="Times New Roman"/>
          <w:sz w:val="20"/>
          <w:szCs w:val="20"/>
        </w:rPr>
        <w:t xml:space="preserve"> Antigone</w:t>
      </w:r>
      <w:r w:rsidRPr="002A6370">
        <w:rPr>
          <w:rFonts w:eastAsia="Times New Roman"/>
          <w:sz w:val="20"/>
          <w:szCs w:val="20"/>
        </w:rPr>
        <w:t xml:space="preserve"> through scene 3</w:t>
      </w:r>
    </w:p>
    <w:p w:rsidR="00C403BC" w:rsidRPr="002A6370" w:rsidRDefault="00C403BC" w:rsidP="002A6370">
      <w:pPr>
        <w:pStyle w:val="ListParagraph"/>
        <w:numPr>
          <w:ilvl w:val="0"/>
          <w:numId w:val="1"/>
        </w:num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HW –</w:t>
      </w:r>
      <w:r w:rsidR="00372667" w:rsidRPr="002A6370">
        <w:rPr>
          <w:rFonts w:eastAsia="Times New Roman"/>
          <w:b/>
          <w:sz w:val="20"/>
          <w:szCs w:val="20"/>
        </w:rPr>
        <w:t xml:space="preserve"> Finish Scene 3 (through pg. 516)</w:t>
      </w:r>
    </w:p>
    <w:p w:rsidR="00C403BC" w:rsidRPr="002A6370" w:rsidRDefault="00C403BC" w:rsidP="002A6370">
      <w:p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Fri 28</w:t>
      </w:r>
    </w:p>
    <w:p w:rsidR="00372667" w:rsidRPr="002A6370" w:rsidRDefault="00372667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½ Period Read Antigone (Scene 4)</w:t>
      </w:r>
    </w:p>
    <w:p w:rsidR="00C403BC" w:rsidRPr="002A6370" w:rsidRDefault="00372667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 xml:space="preserve">½ </w:t>
      </w:r>
      <w:r w:rsidR="00C403BC" w:rsidRPr="002A6370">
        <w:rPr>
          <w:rFonts w:eastAsia="Times New Roman"/>
          <w:sz w:val="20"/>
          <w:szCs w:val="20"/>
        </w:rPr>
        <w:t>Independent reading</w:t>
      </w:r>
    </w:p>
    <w:p w:rsidR="00C403BC" w:rsidRPr="002A6370" w:rsidRDefault="00C403BC" w:rsidP="002A6370">
      <w:pPr>
        <w:pStyle w:val="ListParagraph"/>
        <w:numPr>
          <w:ilvl w:val="0"/>
          <w:numId w:val="1"/>
        </w:num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HW – Finish Reading Antigone</w:t>
      </w:r>
      <w:r w:rsidR="00372667" w:rsidRPr="002A6370">
        <w:rPr>
          <w:rFonts w:eastAsia="Times New Roman"/>
          <w:b/>
          <w:sz w:val="20"/>
          <w:szCs w:val="20"/>
        </w:rPr>
        <w:t xml:space="preserve"> (scene 5)</w:t>
      </w:r>
      <w:r w:rsidRPr="002A6370">
        <w:rPr>
          <w:rFonts w:eastAsia="Times New Roman"/>
          <w:b/>
          <w:sz w:val="20"/>
          <w:szCs w:val="20"/>
        </w:rPr>
        <w:t xml:space="preserve"> by </w:t>
      </w:r>
      <w:r w:rsidR="00372667" w:rsidRPr="002A6370">
        <w:rPr>
          <w:rFonts w:eastAsia="Times New Roman"/>
          <w:b/>
          <w:sz w:val="20"/>
          <w:szCs w:val="20"/>
        </w:rPr>
        <w:t>Tues</w:t>
      </w:r>
      <w:r w:rsidRPr="002A6370">
        <w:rPr>
          <w:rFonts w:eastAsia="Times New Roman"/>
          <w:b/>
          <w:sz w:val="20"/>
          <w:szCs w:val="20"/>
        </w:rPr>
        <w:t xml:space="preserve">day </w:t>
      </w:r>
      <w:r w:rsidR="00372667" w:rsidRPr="002A6370">
        <w:rPr>
          <w:rFonts w:eastAsia="Times New Roman"/>
          <w:b/>
          <w:sz w:val="20"/>
          <w:szCs w:val="20"/>
        </w:rPr>
        <w:t xml:space="preserve">Nov. 1 </w:t>
      </w:r>
      <w:r w:rsidRPr="002A6370">
        <w:rPr>
          <w:rFonts w:eastAsia="Times New Roman"/>
          <w:b/>
          <w:sz w:val="20"/>
          <w:szCs w:val="20"/>
        </w:rPr>
        <w:t>(find an online PDF</w:t>
      </w:r>
      <w:r w:rsidRPr="002A6370">
        <w:rPr>
          <w:rFonts w:eastAsia="Times New Roman"/>
          <w:b/>
          <w:sz w:val="20"/>
          <w:szCs w:val="20"/>
        </w:rPr>
        <w:sym w:font="Wingdings" w:char="F04A"/>
      </w:r>
      <w:r w:rsidRPr="002A6370">
        <w:rPr>
          <w:rFonts w:eastAsia="Times New Roman"/>
          <w:b/>
          <w:sz w:val="20"/>
          <w:szCs w:val="20"/>
        </w:rPr>
        <w:t>)!</w:t>
      </w:r>
    </w:p>
    <w:p w:rsidR="00372667" w:rsidRPr="002A6370" w:rsidRDefault="00372667" w:rsidP="002A6370">
      <w:pPr>
        <w:pStyle w:val="ListParagraph"/>
        <w:numPr>
          <w:ilvl w:val="1"/>
          <w:numId w:val="1"/>
        </w:num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Antigone Test Tues. Nov. 1!</w:t>
      </w:r>
    </w:p>
    <w:p w:rsidR="00C403BC" w:rsidRPr="002A6370" w:rsidRDefault="00C403BC" w:rsidP="002A6370">
      <w:pPr>
        <w:jc w:val="center"/>
        <w:rPr>
          <w:rFonts w:eastAsia="Times New Roman"/>
          <w:b/>
          <w:sz w:val="16"/>
          <w:szCs w:val="16"/>
        </w:rPr>
      </w:pPr>
      <w:r w:rsidRPr="002A6370">
        <w:rPr>
          <w:rFonts w:eastAsia="Times New Roman"/>
          <w:b/>
          <w:sz w:val="16"/>
          <w:szCs w:val="16"/>
        </w:rPr>
        <w:t>Learning Goals:</w:t>
      </w:r>
    </w:p>
    <w:p w:rsidR="002A6370" w:rsidRDefault="00A56B76" w:rsidP="002A6370">
      <w:pPr>
        <w:numPr>
          <w:ilvl w:val="0"/>
          <w:numId w:val="2"/>
        </w:numPr>
        <w:rPr>
          <w:rFonts w:asciiTheme="minorHAnsi" w:eastAsiaTheme="minorHAnsi" w:hAnsiTheme="minorHAnsi" w:cs="Tahoma"/>
          <w:b/>
          <w:color w:val="000000"/>
          <w:sz w:val="16"/>
          <w:szCs w:val="16"/>
        </w:rPr>
      </w:pPr>
      <w:r w:rsidRPr="002A6370">
        <w:rPr>
          <w:rFonts w:asciiTheme="minorHAnsi" w:eastAsiaTheme="minorHAnsi" w:hAnsiTheme="minorHAnsi" w:cstheme="minorBidi"/>
          <w:sz w:val="16"/>
          <w:szCs w:val="16"/>
        </w:rPr>
        <w:t>Analyze how an author's choices concerning how to structure specific parts of a text (e.g., the choice of where to begin or end a story, the choice to provide a comedic or tragic resolution) contribute to its overall structure and meaning as well as its aesthetic impact.</w:t>
      </w:r>
    </w:p>
    <w:p w:rsidR="00A56B76" w:rsidRPr="002A6370" w:rsidRDefault="00A56B76" w:rsidP="002A6370">
      <w:pPr>
        <w:numPr>
          <w:ilvl w:val="0"/>
          <w:numId w:val="2"/>
        </w:numPr>
        <w:rPr>
          <w:rFonts w:asciiTheme="minorHAnsi" w:eastAsiaTheme="minorHAnsi" w:hAnsiTheme="minorHAnsi" w:cs="Tahoma"/>
          <w:b/>
          <w:color w:val="000000"/>
          <w:sz w:val="16"/>
          <w:szCs w:val="16"/>
        </w:rPr>
      </w:pPr>
      <w:r w:rsidRPr="002A6370">
        <w:rPr>
          <w:rFonts w:asciiTheme="minorHAnsi" w:eastAsiaTheme="minorHAnsi" w:hAnsiTheme="minorHAnsi" w:cstheme="minorBidi"/>
          <w:color w:val="202020"/>
          <w:sz w:val="16"/>
          <w:szCs w:val="16"/>
        </w:rPr>
        <w:t xml:space="preserve">Cite strong and thorough textual evidence to support analysis of what the text says explicitly as well as inferences drawn from the text, including determining where the text leaves </w:t>
      </w:r>
      <w:proofErr w:type="gramStart"/>
      <w:r w:rsidRPr="002A6370">
        <w:rPr>
          <w:rFonts w:asciiTheme="minorHAnsi" w:eastAsiaTheme="minorHAnsi" w:hAnsiTheme="minorHAnsi" w:cstheme="minorBidi"/>
          <w:color w:val="202020"/>
          <w:sz w:val="16"/>
          <w:szCs w:val="16"/>
        </w:rPr>
        <w:t>matters</w:t>
      </w:r>
      <w:proofErr w:type="gramEnd"/>
      <w:r w:rsidRPr="002A6370">
        <w:rPr>
          <w:rFonts w:asciiTheme="minorHAnsi" w:eastAsiaTheme="minorHAnsi" w:hAnsiTheme="minorHAnsi" w:cstheme="minorBidi"/>
          <w:color w:val="202020"/>
          <w:sz w:val="16"/>
          <w:szCs w:val="16"/>
        </w:rPr>
        <w:t xml:space="preserve"> uncertain.</w:t>
      </w:r>
    </w:p>
    <w:p w:rsidR="002A6370" w:rsidRDefault="002A6370" w:rsidP="002A6370">
      <w:pPr>
        <w:jc w:val="center"/>
        <w:rPr>
          <w:rFonts w:eastAsia="Times New Roman"/>
          <w:b/>
          <w:sz w:val="20"/>
          <w:szCs w:val="20"/>
        </w:rPr>
      </w:pPr>
    </w:p>
    <w:p w:rsidR="002A6370" w:rsidRDefault="002A6370" w:rsidP="002A6370">
      <w:pPr>
        <w:jc w:val="center"/>
        <w:rPr>
          <w:rFonts w:eastAsia="Times New Roman"/>
          <w:b/>
          <w:sz w:val="20"/>
          <w:szCs w:val="20"/>
        </w:rPr>
      </w:pPr>
    </w:p>
    <w:p w:rsidR="002A6370" w:rsidRDefault="002A6370" w:rsidP="002A6370">
      <w:pPr>
        <w:jc w:val="center"/>
        <w:rPr>
          <w:rFonts w:eastAsia="Times New Roman"/>
          <w:b/>
          <w:sz w:val="20"/>
          <w:szCs w:val="20"/>
        </w:rPr>
      </w:pPr>
    </w:p>
    <w:p w:rsidR="001E0F3B" w:rsidRDefault="001E0F3B" w:rsidP="002A6370">
      <w:pPr>
        <w:jc w:val="center"/>
        <w:rPr>
          <w:rFonts w:eastAsia="Times New Roman"/>
          <w:b/>
          <w:sz w:val="20"/>
          <w:szCs w:val="20"/>
        </w:rPr>
      </w:pPr>
      <w:bookmarkStart w:id="0" w:name="_GoBack"/>
      <w:bookmarkEnd w:id="0"/>
    </w:p>
    <w:p w:rsidR="002A6370" w:rsidRPr="002A6370" w:rsidRDefault="002A6370" w:rsidP="002A6370">
      <w:pPr>
        <w:jc w:val="center"/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Weekly Agenda 10/25 – 10/28</w:t>
      </w:r>
    </w:p>
    <w:p w:rsidR="002A6370" w:rsidRPr="002A6370" w:rsidRDefault="002A6370" w:rsidP="002A6370">
      <w:pPr>
        <w:jc w:val="center"/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Brit Lit and Comp – McBride</w:t>
      </w:r>
    </w:p>
    <w:p w:rsidR="002A6370" w:rsidRPr="002A6370" w:rsidRDefault="002A6370" w:rsidP="002A6370">
      <w:p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Tues. 25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QW – Essential question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Collect Because I Said I Would Card.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 xml:space="preserve">Intro to Tests and The Supreme Ordeal (J. Campbell’s The </w:t>
      </w:r>
      <w:proofErr w:type="spellStart"/>
      <w:r w:rsidRPr="002A6370">
        <w:rPr>
          <w:rFonts w:eastAsia="Times New Roman"/>
          <w:sz w:val="20"/>
          <w:szCs w:val="20"/>
        </w:rPr>
        <w:t>Monomyth</w:t>
      </w:r>
      <w:proofErr w:type="spellEnd"/>
      <w:r w:rsidRPr="002A6370">
        <w:rPr>
          <w:rFonts w:eastAsia="Times New Roman"/>
          <w:sz w:val="20"/>
          <w:szCs w:val="20"/>
        </w:rPr>
        <w:t xml:space="preserve"> – Review)</w:t>
      </w:r>
    </w:p>
    <w:p w:rsidR="002A6370" w:rsidRPr="002A6370" w:rsidRDefault="002A6370" w:rsidP="002A6370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Learning Goals, expectations, Review EQs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 xml:space="preserve">PRIMING! A new </w:t>
      </w:r>
      <w:proofErr w:type="spellStart"/>
      <w:r w:rsidRPr="002A6370">
        <w:rPr>
          <w:rFonts w:eastAsia="Times New Roman"/>
          <w:sz w:val="20"/>
          <w:szCs w:val="20"/>
        </w:rPr>
        <w:t>tradtion</w:t>
      </w:r>
      <w:proofErr w:type="spellEnd"/>
      <w:r w:rsidRPr="002A6370">
        <w:rPr>
          <w:rFonts w:eastAsia="Times New Roman"/>
          <w:sz w:val="20"/>
          <w:szCs w:val="20"/>
        </w:rPr>
        <w:t xml:space="preserve"> to get our bodies’ and minds’ ready!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7BB85A69" wp14:editId="6A715EC2">
            <wp:simplePos x="0" y="0"/>
            <wp:positionH relativeFrom="page">
              <wp:posOffset>5448300</wp:posOffset>
            </wp:positionH>
            <wp:positionV relativeFrom="paragraph">
              <wp:posOffset>46990</wp:posOffset>
            </wp:positionV>
            <wp:extent cx="1809750" cy="1809750"/>
            <wp:effectExtent l="0" t="0" r="0" b="0"/>
            <wp:wrapSquare wrapText="bothSides"/>
            <wp:docPr id="2" name="irc_mi" descr="Image result for because i said i woul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ecause i said i woul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370">
        <w:rPr>
          <w:rFonts w:eastAsia="Times New Roman"/>
          <w:sz w:val="20"/>
          <w:szCs w:val="20"/>
        </w:rPr>
        <w:t>Get Lit Books for Antigone – Read Intro/Background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 xml:space="preserve">HW – Read pg. 489-493 in new book “Sophocles and His Theater” </w:t>
      </w:r>
    </w:p>
    <w:p w:rsidR="002A6370" w:rsidRPr="002A6370" w:rsidRDefault="002A6370" w:rsidP="002A6370">
      <w:p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 xml:space="preserve">Wed 26 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QW – Review Background (Reading Check)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Begin reading Antigone</w:t>
      </w:r>
    </w:p>
    <w:p w:rsidR="002A6370" w:rsidRPr="002A6370" w:rsidRDefault="002A6370" w:rsidP="002A6370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 xml:space="preserve">Role of the Chorus – Review (structural purpose 12. 5) 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HW – Finish Scene 1 (through pg. 503)</w:t>
      </w:r>
    </w:p>
    <w:p w:rsidR="002A6370" w:rsidRPr="002A6370" w:rsidRDefault="002A6370" w:rsidP="002A6370">
      <w:p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Thurs. 27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Review Scene 1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Cont. Reading Antigone through scene 3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HW – Finish Scene 3 (through pg. 516)</w:t>
      </w:r>
    </w:p>
    <w:p w:rsidR="002A6370" w:rsidRPr="002A6370" w:rsidRDefault="002A6370" w:rsidP="002A6370">
      <w:p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Fri 28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½ Period Read Antigone (Scene 4)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2A6370">
        <w:rPr>
          <w:rFonts w:eastAsia="Times New Roman"/>
          <w:sz w:val="20"/>
          <w:szCs w:val="20"/>
        </w:rPr>
        <w:t>½ Independent reading</w:t>
      </w:r>
    </w:p>
    <w:p w:rsidR="002A6370" w:rsidRPr="002A6370" w:rsidRDefault="002A6370" w:rsidP="002A6370">
      <w:pPr>
        <w:pStyle w:val="ListParagraph"/>
        <w:numPr>
          <w:ilvl w:val="0"/>
          <w:numId w:val="1"/>
        </w:num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HW – Finish Reading Antigone (scene 5) by Tuesday Nov. 1 (find an online PDF</w:t>
      </w:r>
      <w:r w:rsidRPr="002A6370">
        <w:rPr>
          <w:rFonts w:eastAsia="Times New Roman"/>
          <w:b/>
          <w:sz w:val="20"/>
          <w:szCs w:val="20"/>
        </w:rPr>
        <w:sym w:font="Wingdings" w:char="F04A"/>
      </w:r>
      <w:r w:rsidRPr="002A6370">
        <w:rPr>
          <w:rFonts w:eastAsia="Times New Roman"/>
          <w:b/>
          <w:sz w:val="20"/>
          <w:szCs w:val="20"/>
        </w:rPr>
        <w:t>)!</w:t>
      </w:r>
    </w:p>
    <w:p w:rsidR="002A6370" w:rsidRPr="002A6370" w:rsidRDefault="002A6370" w:rsidP="002A6370">
      <w:pPr>
        <w:pStyle w:val="ListParagraph"/>
        <w:numPr>
          <w:ilvl w:val="1"/>
          <w:numId w:val="1"/>
        </w:numPr>
        <w:rPr>
          <w:rFonts w:eastAsia="Times New Roman"/>
          <w:b/>
          <w:sz w:val="20"/>
          <w:szCs w:val="20"/>
        </w:rPr>
      </w:pPr>
      <w:r w:rsidRPr="002A6370">
        <w:rPr>
          <w:rFonts w:eastAsia="Times New Roman"/>
          <w:b/>
          <w:sz w:val="20"/>
          <w:szCs w:val="20"/>
        </w:rPr>
        <w:t>Antigone Test Tues. Nov. 1!</w:t>
      </w:r>
    </w:p>
    <w:p w:rsidR="002A6370" w:rsidRPr="002A6370" w:rsidRDefault="002A6370" w:rsidP="002A6370">
      <w:pPr>
        <w:jc w:val="center"/>
        <w:rPr>
          <w:rFonts w:eastAsia="Times New Roman"/>
          <w:b/>
          <w:sz w:val="16"/>
          <w:szCs w:val="16"/>
        </w:rPr>
      </w:pPr>
      <w:r w:rsidRPr="002A6370">
        <w:rPr>
          <w:rFonts w:eastAsia="Times New Roman"/>
          <w:b/>
          <w:sz w:val="16"/>
          <w:szCs w:val="16"/>
        </w:rPr>
        <w:t>Learning Goals:</w:t>
      </w:r>
    </w:p>
    <w:p w:rsidR="002A6370" w:rsidRPr="002A6370" w:rsidRDefault="002A6370" w:rsidP="002A6370">
      <w:pPr>
        <w:pStyle w:val="ListParagraph"/>
        <w:numPr>
          <w:ilvl w:val="0"/>
          <w:numId w:val="3"/>
        </w:numPr>
        <w:rPr>
          <w:rFonts w:asciiTheme="minorHAnsi" w:eastAsiaTheme="minorHAnsi" w:hAnsiTheme="minorHAnsi" w:cs="Tahoma"/>
          <w:b/>
          <w:color w:val="000000"/>
          <w:sz w:val="16"/>
          <w:szCs w:val="16"/>
        </w:rPr>
      </w:pPr>
      <w:r w:rsidRPr="002A6370">
        <w:rPr>
          <w:rFonts w:asciiTheme="minorHAnsi" w:eastAsiaTheme="minorHAnsi" w:hAnsiTheme="minorHAnsi" w:cstheme="minorBidi"/>
          <w:sz w:val="16"/>
          <w:szCs w:val="16"/>
        </w:rPr>
        <w:t>Analyze how an author's choices concerning how to structure specific parts of a text (e.g., the choice of where to begin or end a story, the choice to provide a comedic or tragic resolution) contribute to its overall structure and meaning as well as its aesthetic impact.</w:t>
      </w:r>
    </w:p>
    <w:p w:rsidR="002A6370" w:rsidRPr="002A6370" w:rsidRDefault="002A6370" w:rsidP="002A6370">
      <w:pPr>
        <w:numPr>
          <w:ilvl w:val="0"/>
          <w:numId w:val="3"/>
        </w:numPr>
        <w:rPr>
          <w:rFonts w:asciiTheme="minorHAnsi" w:eastAsiaTheme="minorHAnsi" w:hAnsiTheme="minorHAnsi" w:cs="Tahoma"/>
          <w:b/>
          <w:color w:val="000000"/>
          <w:sz w:val="16"/>
          <w:szCs w:val="16"/>
        </w:rPr>
      </w:pPr>
      <w:r w:rsidRPr="002A6370">
        <w:rPr>
          <w:rFonts w:asciiTheme="minorHAnsi" w:eastAsiaTheme="minorHAnsi" w:hAnsiTheme="minorHAnsi" w:cstheme="minorBidi"/>
          <w:color w:val="202020"/>
          <w:sz w:val="16"/>
          <w:szCs w:val="16"/>
        </w:rPr>
        <w:t xml:space="preserve">Cite strong and thorough textual evidence to support analysis of what the text says explicitly as well as inferences drawn from the text, including determining where the text leaves </w:t>
      </w:r>
      <w:proofErr w:type="gramStart"/>
      <w:r w:rsidRPr="002A6370">
        <w:rPr>
          <w:rFonts w:asciiTheme="minorHAnsi" w:eastAsiaTheme="minorHAnsi" w:hAnsiTheme="minorHAnsi" w:cstheme="minorBidi"/>
          <w:color w:val="202020"/>
          <w:sz w:val="16"/>
          <w:szCs w:val="16"/>
        </w:rPr>
        <w:t>matters</w:t>
      </w:r>
      <w:proofErr w:type="gramEnd"/>
      <w:r w:rsidRPr="002A6370">
        <w:rPr>
          <w:rFonts w:asciiTheme="minorHAnsi" w:eastAsiaTheme="minorHAnsi" w:hAnsiTheme="minorHAnsi" w:cstheme="minorBidi"/>
          <w:color w:val="202020"/>
          <w:sz w:val="16"/>
          <w:szCs w:val="16"/>
        </w:rPr>
        <w:t xml:space="preserve"> uncertain.</w:t>
      </w:r>
    </w:p>
    <w:p w:rsidR="002A6370" w:rsidRDefault="002A6370" w:rsidP="002A6370"/>
    <w:p w:rsidR="00FA609A" w:rsidRDefault="00FA609A"/>
    <w:sectPr w:rsidR="00FA609A" w:rsidSect="002A6370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F6839"/>
    <w:multiLevelType w:val="hybridMultilevel"/>
    <w:tmpl w:val="700297A2"/>
    <w:lvl w:ilvl="0" w:tplc="84AA04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E6CB2"/>
    <w:multiLevelType w:val="hybridMultilevel"/>
    <w:tmpl w:val="5606BAE4"/>
    <w:lvl w:ilvl="0" w:tplc="73D4FD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BC"/>
    <w:rsid w:val="001E0F3B"/>
    <w:rsid w:val="002A6370"/>
    <w:rsid w:val="002D1E38"/>
    <w:rsid w:val="00372667"/>
    <w:rsid w:val="003B2DB9"/>
    <w:rsid w:val="00A56B76"/>
    <w:rsid w:val="00C403BC"/>
    <w:rsid w:val="00D1597A"/>
    <w:rsid w:val="00FA609A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3E1C2"/>
  <w15:chartTrackingRefBased/>
  <w15:docId w15:val="{5BF73FD0-D50E-4D28-8555-35F1BACB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3B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03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F3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source=images&amp;cd=&amp;cad=rja&amp;uact=8&amp;ved=0ahUKEwj_8YX_vOzPAhVJGz4KHUjiAQ8QjRwIBw&amp;url=http://graysquirrel.net/?p%3D1050&amp;psig=AFQjCNEOw2oWa-Z0vzXycCSalu6QjXd29Q&amp;ust=14771591992660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mfcsd</cp:lastModifiedBy>
  <cp:revision>6</cp:revision>
  <cp:lastPrinted>2016-10-21T18:02:00Z</cp:lastPrinted>
  <dcterms:created xsi:type="dcterms:W3CDTF">2016-10-19T13:57:00Z</dcterms:created>
  <dcterms:modified xsi:type="dcterms:W3CDTF">2016-10-21T18:02:00Z</dcterms:modified>
</cp:coreProperties>
</file>